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E012A3" w14:textId="71868526" w:rsidR="00DA7DA4" w:rsidRPr="00F60B52" w:rsidRDefault="00592B02" w:rsidP="00DA7DA4">
      <w:pPr>
        <w:rPr>
          <w:rFonts w:ascii="Bould" w:hAnsi="Bould"/>
          <w:b/>
          <w:bCs/>
          <w:color w:val="222A35" w:themeColor="text2" w:themeShade="80"/>
          <w:sz w:val="24"/>
          <w:szCs w:val="24"/>
        </w:rPr>
      </w:pPr>
      <w:r w:rsidRPr="00DA7DA4">
        <w:rPr>
          <w:rFonts w:ascii="Noway" w:hAnsi="Noway"/>
          <w:b/>
          <w:bCs/>
          <w:color w:val="222A35" w:themeColor="text2" w:themeShade="80"/>
          <w:sz w:val="24"/>
          <w:szCs w:val="24"/>
        </w:rPr>
        <w:br/>
      </w:r>
      <w:r w:rsidR="00250188" w:rsidRPr="00F60B52">
        <w:rPr>
          <w:rFonts w:ascii="Bould" w:hAnsi="Bould"/>
          <w:b/>
          <w:bCs/>
          <w:color w:val="222A35" w:themeColor="text2" w:themeShade="80"/>
          <w:sz w:val="24"/>
          <w:szCs w:val="24"/>
        </w:rPr>
        <w:t>Au</w:t>
      </w:r>
      <w:r w:rsidR="003F684D">
        <w:rPr>
          <w:rFonts w:ascii="Bould" w:hAnsi="Bould"/>
          <w:b/>
          <w:bCs/>
          <w:color w:val="222A35" w:themeColor="text2" w:themeShade="80"/>
          <w:sz w:val="24"/>
          <w:szCs w:val="24"/>
        </w:rPr>
        <w:t>s</w:t>
      </w:r>
      <w:r w:rsidR="00250188" w:rsidRPr="00F60B52">
        <w:rPr>
          <w:rFonts w:ascii="Bould" w:hAnsi="Bould"/>
          <w:b/>
          <w:bCs/>
          <w:color w:val="222A35" w:themeColor="text2" w:themeShade="80"/>
          <w:sz w:val="24"/>
          <w:szCs w:val="24"/>
        </w:rPr>
        <w:t>schreibungstext</w:t>
      </w:r>
    </w:p>
    <w:p w14:paraId="44A5197D" w14:textId="39A4AB53" w:rsidR="00250188" w:rsidRPr="00F60B52" w:rsidRDefault="00834A67" w:rsidP="00DA7DA4">
      <w:pPr>
        <w:rPr>
          <w:rFonts w:ascii="Bould" w:hAnsi="Bould"/>
          <w:b/>
          <w:bCs/>
          <w:color w:val="222A35" w:themeColor="text2" w:themeShade="80"/>
          <w:sz w:val="24"/>
          <w:szCs w:val="24"/>
          <w:lang w:eastAsia="en-US"/>
        </w:rPr>
      </w:pPr>
      <w:r w:rsidRPr="00F60B52">
        <w:rPr>
          <w:rFonts w:ascii="Bould" w:hAnsi="Bould"/>
          <w:b/>
          <w:bCs/>
          <w:color w:val="222A35" w:themeColor="text2" w:themeShade="80"/>
          <w:sz w:val="24"/>
          <w:szCs w:val="24"/>
        </w:rPr>
        <w:t>ENERENT</w:t>
      </w:r>
      <w:r w:rsidR="00250188" w:rsidRPr="00F60B52">
        <w:rPr>
          <w:rFonts w:ascii="Bould" w:hAnsi="Bould"/>
          <w:b/>
          <w:bCs/>
          <w:color w:val="222A35" w:themeColor="text2" w:themeShade="80"/>
          <w:sz w:val="24"/>
          <w:szCs w:val="24"/>
        </w:rPr>
        <w:t xml:space="preserve"> </w:t>
      </w:r>
      <w:r w:rsidR="00D07684" w:rsidRPr="00F60B52">
        <w:rPr>
          <w:rFonts w:ascii="Bould" w:hAnsi="Bould"/>
          <w:b/>
          <w:bCs/>
          <w:color w:val="222A35" w:themeColor="text2" w:themeShade="80"/>
          <w:sz w:val="24"/>
          <w:szCs w:val="24"/>
        </w:rPr>
        <w:t>ERKZE80M</w:t>
      </w:r>
      <w:r w:rsidR="00250188" w:rsidRPr="00F60B52">
        <w:rPr>
          <w:rFonts w:ascii="Bould" w:hAnsi="Bould"/>
          <w:b/>
          <w:bCs/>
          <w:color w:val="222A35" w:themeColor="text2" w:themeShade="80"/>
          <w:sz w:val="24"/>
          <w:szCs w:val="24"/>
        </w:rPr>
        <w:t xml:space="preserve"> | </w:t>
      </w:r>
      <w:r w:rsidR="00D07684" w:rsidRPr="00F60B52">
        <w:rPr>
          <w:rFonts w:ascii="Bould" w:hAnsi="Bould"/>
          <w:b/>
          <w:bCs/>
          <w:color w:val="222A35" w:themeColor="text2" w:themeShade="80"/>
          <w:sz w:val="24"/>
          <w:szCs w:val="24"/>
        </w:rPr>
        <w:t>80 kW</w:t>
      </w:r>
      <w:r w:rsidR="00DA7DA4" w:rsidRPr="00F60B52">
        <w:rPr>
          <w:rFonts w:ascii="Bould" w:hAnsi="Bould"/>
          <w:b/>
          <w:bCs/>
          <w:color w:val="222A35" w:themeColor="text2" w:themeShade="80"/>
          <w:sz w:val="24"/>
          <w:szCs w:val="24"/>
        </w:rPr>
        <w:t xml:space="preserve"> </w:t>
      </w:r>
      <w:r w:rsidR="00D07684" w:rsidRPr="00F60B52">
        <w:rPr>
          <w:rFonts w:ascii="Bould" w:hAnsi="Bould"/>
          <w:b/>
          <w:bCs/>
          <w:color w:val="222A35" w:themeColor="text2" w:themeShade="80"/>
          <w:sz w:val="24"/>
          <w:szCs w:val="24"/>
        </w:rPr>
        <w:t>Kaltwassersätze ab 80 kW</w:t>
      </w:r>
    </w:p>
    <w:p w14:paraId="01AFE20D" w14:textId="77777777" w:rsidR="00DA7DA4" w:rsidRPr="00250188" w:rsidRDefault="00DA7DA4" w:rsidP="00DA7DA4">
      <w:pPr>
        <w:rPr>
          <w:rFonts w:ascii="Noway" w:hAnsi="Noway"/>
          <w:b/>
          <w:bCs/>
          <w:color w:val="222A35" w:themeColor="text2" w:themeShade="80"/>
          <w:sz w:val="24"/>
          <w:szCs w:val="24"/>
        </w:rPr>
      </w:pPr>
    </w:p>
    <w:p w14:paraId="10F646CE" w14:textId="6998E2DB" w:rsidR="00DA7DA4" w:rsidRPr="00F60B52" w:rsidRDefault="00186DDF" w:rsidP="00DA7DA4">
      <w:pPr>
        <w:rPr>
          <w:rFonts w:ascii="Bould" w:hAnsi="Bould"/>
          <w:color w:val="222A35" w:themeColor="text2" w:themeShade="80"/>
          <w:lang w:eastAsia="en-US"/>
        </w:rPr>
      </w:pPr>
      <w:r w:rsidRPr="00F60B52">
        <w:rPr>
          <w:rFonts w:ascii="Bould" w:hAnsi="Bould"/>
          <w:color w:val="222A35" w:themeColor="text2" w:themeShade="80"/>
          <w:lang w:eastAsia="en-US"/>
        </w:rPr>
        <w:t>ENERENT ERKZE80M – Mobile Kältezentrale mit 72 kW Kühlleistung</w:t>
        <w:br/>
        <w:t xml:space="preserve"> </w:t>
        <w:br/>
        <w:t xml:space="preserve"/>
        <w:br/>
        <w:t xml:space="preserve">Kompakte Lösung für präzise Kälteversorgung</w:t>
        <w:br/>
        <w:t xml:space="preserve"/>
        <w:br/>
        <w:t xml:space="preserve">Die mobile Kältezentrale ERKZE80M ist ein moderner Kaltwassersatz mit einer Kühlleistung von 72 kW. Sie eignet sich ideal für den flexiblen Einsatz bei temporären Kühlaufgaben und überzeugt durch ihre kompakte Bauweise sowie wartungsarme Technik.</w:t>
        <w:br/>
        <w:t xml:space="preserve"/>
        <w:br/>
        <w:t xml:space="preserve">Effiziente Temperaturregelung in sensiblen Bereichen</w:t>
        <w:br/>
        <w:t xml:space="preserve"/>
        <w:br/>
        <w:t xml:space="preserve">Die ERKZE80M wurde speziell für Anwendungen entwickelt, bei denen eine präzise Temperaturregelung erforderlich ist. Besonders in der industriellen Fertigung sorgt der Kaltwassersatz für konstante Bedingungen bei der Maschinenkühlung – mit hoher Zuverlässigkeit und Genauigkeit.</w:t>
        <w:br/>
        <w:t xml:space="preserve"/>
        <w:br/>
        <w:t xml:space="preserve">Typische Einsatzgebiete der ERKZE80M</w:t>
        <w:br/>
        <w:t xml:space="preserve"/>
        <w:br/>
        <w:t xml:space="preserve">Die mobile Kältezentrale wird in vielen Branchen erfolgreich eingesetzt. Dazu zählen:</w:t>
        <w:br/>
        <w:t xml:space="preserve"/>
        <w:br/>
        <w:t xml:space="preserve"/>
        <w:br/>
        <w:t xml:space="preserve"/>
        <w:tab/>
        <w:t xml:space="preserve">Notfall-, Modernisierungs- und Ersatzkühlung</w:t>
        <w:br/>
        <w:t xml:space="preserve"/>
        <w:tab/>
        <w:t xml:space="preserve">Prozess- und Industriekühlung</w:t>
        <w:br/>
        <w:t xml:space="preserve"/>
        <w:tab/>
        <w:t xml:space="preserve">Event-, Zelt- und Hallenkühlung</w:t>
        <w:br/>
        <w:t xml:space="preserve"/>
        <w:tab/>
        <w:t xml:space="preserve">Industrie, Fertigung, Lager und Produktion</w:t>
        <w:br/>
        <w:t xml:space="preserve"/>
        <w:tab/>
        <w:t xml:space="preserve">Ladenlokale, Labore und Krankenhäuser</w:t>
        <w:br/>
        <w:t xml:space="preserve"/>
        <w:tab/>
        <w:t xml:space="preserve">Wohngebäude und gewerbliche Räume</w:t>
        <w:br/>
        <w:t xml:space="preserve"/>
        <w:tab/>
        <w:t xml:space="preserve">Chemie- und Pharmaindustrie</w:t>
        <w:br/>
        <w:t xml:space="preserve"/>
        <w:tab/>
        <w:t xml:space="preserve">IT- und MSR-Technik</w:t>
        <w:br/>
        <w:t xml:space="preserve"/>
        <w:tab/>
        <w:t xml:space="preserve">Maschinen und Rechenzentren</w:t>
        <w:br/>
        <w:t xml:space="preserve"/>
        <w:tab/>
        <w:t xml:space="preserve">Technische Gebäudeausrüstung (TGA) und Facility Management</w:t>
        <w:br/>
        <w:t xml:space="preserve"/>
        <w:br/>
        <w:t xml:space="preserve"/>
        <w:br/>
        <w:t xml:space="preserve">Vielseitig und energieeffizient</w:t>
        <w:br/>
        <w:t xml:space="preserve"/>
        <w:br/>
        <w:t xml:space="preserve">Kaltwassersätze wie der ERKZE80M bieten eine zuverlässige Lösung zur Klimatisierung oder Prozesskühlung – flexibel einsetzbar und besonders energieeffizient. Durch luftgekühlte Technologie ist keine externe Wasserversorgung nötig, was den Installationsaufwand reduziert und die Betriebssicherheit erhöht.</w:t>
        <w:br/>
        <w:t xml:space="preserve"/>
      </w:r>
    </w:p>
    <w:p w14:paraId="401931FC" w14:textId="2713A8EE" w:rsidR="00ED545D" w:rsidRPr="00F60B52" w:rsidRDefault="00554494" w:rsidP="00DA7DA4">
      <w:pPr>
        <w:rPr>
          <w:rFonts w:ascii="Bould" w:hAnsi="Bould"/>
          <w:color w:val="222A35" w:themeColor="text2" w:themeShade="80"/>
          <w:lang w:eastAsia="en-US"/>
        </w:rPr>
      </w:pPr>
      <w:r w:rsidRPr="00F60B52">
        <w:rPr>
          <w:rFonts w:ascii="Bould" w:hAnsi="Bould"/>
          <w:color w:val="222A35" w:themeColor="text2" w:themeShade="80"/>
          <w:lang w:eastAsia="en-US"/>
        </w:rPr>
        <w:t>Mietkonditionen:</w:t>
      </w:r>
    </w:p>
    <w:p w14:paraId="433AACC1" w14:textId="684F7A3D" w:rsidR="00DA7DA4" w:rsidRPr="00F60B52" w:rsidRDefault="00446647" w:rsidP="00DA7DA4">
      <w:pPr>
        <w:pStyle w:val="Listenabsatz"/>
        <w:numPr>
          <w:ilvl w:val="0"/>
          <w:numId w:val="1"/>
        </w:numPr>
        <w:rPr>
          <w:rFonts w:ascii="Bould" w:hAnsi="Bould"/>
        </w:rPr>
      </w:pPr>
      <w:r w:rsidRPr="00F60B52">
        <w:rPr>
          <w:rFonts w:ascii="Bould" w:hAnsi="Bould"/>
        </w:rPr>
        <w:t>Taggenaue Abrechnung nach Tagesmiete</w:t>
      </w:r>
    </w:p>
    <w:p w14:paraId="433AACC1" w14:textId="684F7A3D" w:rsidR="00DA7DA4" w:rsidRPr="00F60B52" w:rsidRDefault="00446647" w:rsidP="00DA7DA4">
      <w:pPr>
        <w:pStyle w:val="Listenabsatz"/>
        <w:numPr>
          <w:ilvl w:val="0"/>
          <w:numId w:val="1"/>
        </w:numPr>
        <w:rPr>
          <w:rFonts w:ascii="Bould" w:hAnsi="Bould"/>
        </w:rPr>
      </w:pPr>
      <w:r w:rsidRPr="00F60B52">
        <w:rPr>
          <w:rFonts w:ascii="Bould" w:hAnsi="Bould"/>
        </w:rPr>
        <w:t>Anlieferungs- und Abmeldetag werden mitberechnet</w:t>
      </w:r>
    </w:p>
    <w:p w14:paraId="433AACC1" w14:textId="684F7A3D" w:rsidR="00DA7DA4" w:rsidRPr="00F60B52" w:rsidRDefault="00446647" w:rsidP="00DA7DA4">
      <w:pPr>
        <w:pStyle w:val="Listenabsatz"/>
        <w:numPr>
          <w:ilvl w:val="0"/>
          <w:numId w:val="1"/>
        </w:numPr>
        <w:rPr>
          <w:rFonts w:ascii="Bould" w:hAnsi="Bould"/>
        </w:rPr>
      </w:pPr>
      <w:r w:rsidRPr="00F60B52">
        <w:rPr>
          <w:rFonts w:ascii="Bould" w:hAnsi="Bould"/>
        </w:rPr>
        <w:t>Der Mindestmietzeitraum beträgt 7 Tage</w:t>
      </w:r>
    </w:p>
    <w:p w14:paraId="67A9AE71" w14:textId="77777777" w:rsidR="00DA7DA4" w:rsidRDefault="00DA7DA4" w:rsidP="00DA7DA4">
      <w:pPr>
        <w:rPr>
          <w:rFonts w:ascii="Noway" w:hAnsi="Noway"/>
          <w:color w:val="222A35" w:themeColor="text2" w:themeShade="80"/>
          <w:lang w:eastAsia="en-US"/>
        </w:rPr>
      </w:pPr>
    </w:p>
    <w:tbl>
      <w:tblPr>
        <w:tblW w:w="9498" w:type="dxa"/>
        <w:tblInd w:w="-5" w:type="dxa"/>
        <w:tblLayout w:type="fixed"/>
        <w:tblCellMar>
          <w:left w:w="0" w:type="dxa"/>
          <w:right w:w="0" w:type="dxa"/>
        </w:tblCellMar>
        <w:tblLook w:val="0000" w:firstRow="0" w:lastRow="0" w:firstColumn="0" w:lastColumn="0" w:noHBand="0" w:noVBand="0"/>
      </w:tblPr>
      <w:tblGrid>
        <w:gridCol w:w="6804"/>
        <w:gridCol w:w="2694"/>
      </w:tblGrid>
      <w:tr w:rsidR="00D42947" w:rsidRPr="003B1F33" w14:paraId="086D7178"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4AD5462A" w14:textId="5EB24B6F" w:rsidR="00D42947" w:rsidRPr="00F60B52" w:rsidRDefault="00D42947" w:rsidP="00DA7DA4">
            <w:pPr>
              <w:rPr>
                <w:rFonts w:ascii="Bould" w:hAnsi="Bould"/>
              </w:rPr>
            </w:pPr>
            <w:r w:rsidRPr="00F60B52">
              <w:rPr>
                <w:rFonts w:ascii="Bould" w:hAnsi="Bould"/>
              </w:rPr>
              <w:t>Kaltwassersätze ab 80 kW (RG Miete bis 100 kW)</w:t>
            </w:r>
          </w:p>
        </w:tc>
        <w:tc>
          <w:tcPr>
            <w:tcW w:w="269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72F18E60" w14:textId="77777777" w:rsidR="00D42947" w:rsidRPr="00F60B52" w:rsidRDefault="00D42947" w:rsidP="00DA7DA4">
            <w:pPr>
              <w:rPr>
                <w:rFonts w:ascii="Bould" w:hAnsi="Bould"/>
              </w:rPr>
            </w:pPr>
            <w:r w:rsidRPr="00F60B52">
              <w:rPr>
                <w:rFonts w:ascii="Bould" w:hAnsi="Bould"/>
              </w:rPr>
              <w:t>Artikel-Nr.</w:t>
            </w:r>
          </w:p>
        </w:tc>
      </w:tr>
      <w:tr w:rsidR="00D42947" w:rsidRPr="003B1F33" w14:paraId="41714353"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69A6C62F" w14:textId="1DD7985D" w:rsidR="00D42947" w:rsidRPr="00F60B52" w:rsidRDefault="00D42947" w:rsidP="00DA7DA4">
            <w:pPr>
              <w:rPr>
                <w:rFonts w:ascii="Bould" w:hAnsi="Bould"/>
              </w:rPr>
            </w:pPr>
            <w:r w:rsidRPr="00F60B52">
              <w:rPr>
                <w:rFonts w:ascii="Bould" w:hAnsi="Bould"/>
              </w:rPr>
              <w:t>Tagesmietpreis ab 30 Tagen</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3E0DDEC1" w14:textId="6AC1DC02" w:rsidR="00D42947" w:rsidRPr="00F60B52" w:rsidRDefault="00D42947" w:rsidP="00DA7DA4">
            <w:pPr>
              <w:rPr>
                <w:rFonts w:ascii="Bould" w:hAnsi="Bould"/>
              </w:rPr>
            </w:pPr>
            <w:r w:rsidRPr="00F60B52">
              <w:rPr>
                <w:rFonts w:ascii="Bould" w:hAnsi="Bould"/>
              </w:rPr>
              <w:t>ERKZE80M-T30</w:t>
            </w:r>
          </w:p>
        </w:tc>
      </w:tr>
      <w:tr w:rsidR="00D42947" w:rsidRPr="003B1F33" w14:paraId="41714353"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69A6C62F" w14:textId="1DD7985D" w:rsidR="00D42947" w:rsidRPr="00F60B52" w:rsidRDefault="00D42947" w:rsidP="00DA7DA4">
            <w:pPr>
              <w:rPr>
                <w:rFonts w:ascii="Bould" w:hAnsi="Bould"/>
              </w:rPr>
            </w:pPr>
            <w:r w:rsidRPr="00F60B52">
              <w:rPr>
                <w:rFonts w:ascii="Bould" w:hAnsi="Bould"/>
              </w:rPr>
              <w:t>Tagesmietpreis ab 7 Tagen</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3E0DDEC1" w14:textId="6AC1DC02" w:rsidR="00D42947" w:rsidRPr="00F60B52" w:rsidRDefault="00D42947" w:rsidP="00DA7DA4">
            <w:pPr>
              <w:rPr>
                <w:rFonts w:ascii="Bould" w:hAnsi="Bould"/>
              </w:rPr>
            </w:pPr>
            <w:r w:rsidRPr="00F60B52">
              <w:rPr>
                <w:rFonts w:ascii="Bould" w:hAnsi="Bould"/>
              </w:rPr>
              <w:t>ERKZE80M-T7</w:t>
            </w:r>
          </w:p>
        </w:tc>
      </w:tr>
      <w:tr w:rsidR="00D42947" w:rsidRPr="003B1F33" w14:paraId="20FFC0C3"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7FB73151" w14:textId="2D932981" w:rsidR="00D42947" w:rsidRPr="00F60B52" w:rsidRDefault="00D42947" w:rsidP="002A2867">
            <w:pPr>
              <w:rPr>
                <w:rFonts w:ascii="Bould" w:hAnsi="Bould"/>
              </w:rPr>
            </w:pPr>
            <w:r w:rsidRPr="00F60B52">
              <w:rPr>
                <w:rFonts w:ascii="Bould" w:hAnsi="Bould"/>
              </w:rPr>
              <w:t>Zubehör (RG Miete Zubehör)</w:t>
            </w:r>
          </w:p>
        </w:tc>
        <w:tc>
          <w:tcPr>
            <w:tcW w:w="269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31EBEEC2" w14:textId="77777777" w:rsidR="00D42947" w:rsidRPr="00F60B52" w:rsidRDefault="00D42947" w:rsidP="002A2867">
            <w:pPr>
              <w:rPr>
                <w:rFonts w:ascii="Bould" w:hAnsi="Bould"/>
              </w:rPr>
            </w:pPr>
            <w:r w:rsidRPr="00F60B52">
              <w:rPr>
                <w:rFonts w:ascii="Bould" w:hAnsi="Bould"/>
              </w:rPr>
              <w:t>Artikel-Nr.</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Tagesmiete Verbindungsleitung  10m DN65 PN16 Flansch Edelstahl</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ERZVL6510FLM-T7</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Tagesmiete  Elektrokabel 63A 400V 20m Anschluss CEE</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ERZEK6320CEM-T7</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Tagesmiete Verteiler 2"  Storz C auf 3x 1" Bajonettverschluss</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ERZVT253M-T7</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Tagesmiete Verteiler 2"  Storz C auf 6x 1" Bajonettverschluss</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ERZVT256M-T7</w:t>
            </w:r>
          </w:p>
        </w:tc>
      </w:tr>
      <w:tr w:rsidR="00D42947" w:rsidRPr="003B1F33" w14:paraId="5CFC1115"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20F73A7F" w14:textId="51DA64D7" w:rsidR="00D42947" w:rsidRPr="00F60B52" w:rsidRDefault="00D42947" w:rsidP="002A2867">
            <w:pPr>
              <w:rPr>
                <w:rFonts w:ascii="Bould" w:hAnsi="Bould"/>
              </w:rPr>
            </w:pPr>
            <w:r w:rsidRPr="00F60B52">
              <w:rPr>
                <w:rFonts w:ascii="Bould" w:hAnsi="Bould"/>
              </w:rPr>
              <w:t>Service</w:t>
            </w:r>
          </w:p>
        </w:tc>
        <w:tc>
          <w:tcPr>
            <w:tcW w:w="269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478BF09B" w14:textId="77777777" w:rsidR="00D42947" w:rsidRPr="00F60B52" w:rsidRDefault="00D42947" w:rsidP="002A2867">
            <w:pPr>
              <w:rPr>
                <w:rFonts w:ascii="Bould" w:hAnsi="Bould"/>
              </w:rPr>
            </w:pPr>
            <w:r w:rsidRPr="00F60B52">
              <w:rPr>
                <w:rFonts w:ascii="Bould" w:hAnsi="Bould"/>
              </w:rPr>
              <w:t>Artikel-Nr.</w:t>
            </w:r>
          </w:p>
        </w:tc>
      </w:tr>
      <w:tr w:rsidR="00D42947" w:rsidRPr="003B1F33" w14:paraId="34F534B6"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4D28365C" w14:textId="4A0BCC6A" w:rsidR="00D42947" w:rsidRPr="00F60B52" w:rsidRDefault="00D42947" w:rsidP="002A2867">
            <w:pPr>
              <w:rPr>
                <w:rFonts w:ascii="Bould" w:hAnsi="Bould"/>
              </w:rPr>
            </w:pPr>
            <w:r w:rsidRPr="00F60B52">
              <w:rPr>
                <w:rFonts w:ascii="Bould" w:hAnsi="Bould"/>
              </w:rPr>
              <w:t>Fernüberwachung Digital ERSFU-0002</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1ABA3832" w14:textId="1FA0E10F" w:rsidR="00D42947" w:rsidRPr="00F60B52" w:rsidRDefault="00D42947" w:rsidP="002A2867">
            <w:pPr>
              <w:rPr>
                <w:rFonts w:ascii="Bould" w:hAnsi="Bould"/>
              </w:rPr>
            </w:pPr>
            <w:r w:rsidRPr="00F60B52">
              <w:rPr>
                <w:rFonts w:ascii="Bould" w:hAnsi="Bould"/>
              </w:rPr>
              <w:t>ERSFU-0002-T7</w:t>
            </w:r>
          </w:p>
        </w:tc>
      </w:tr>
      <w:tr w:rsidR="00D42947" w:rsidRPr="003B1F33" w14:paraId="34F534B6"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4D28365C" w14:textId="4A0BCC6A" w:rsidR="00D42947" w:rsidRPr="00F60B52" w:rsidRDefault="00D42947" w:rsidP="002A2867">
            <w:pPr>
              <w:rPr>
                <w:rFonts w:ascii="Bould" w:hAnsi="Bould"/>
              </w:rPr>
            </w:pPr>
            <w:r w:rsidRPr="00F60B52">
              <w:rPr>
                <w:rFonts w:ascii="Bould" w:hAnsi="Bould"/>
              </w:rPr>
              <w:t>Technische Grundpauschale Kälte ERSDL-0050</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1ABA3832" w14:textId="1FA0E10F" w:rsidR="00D42947" w:rsidRPr="00F60B52" w:rsidRDefault="00D42947" w:rsidP="002A2867">
            <w:pPr>
              <w:rPr>
                <w:rFonts w:ascii="Bould" w:hAnsi="Bould"/>
              </w:rPr>
            </w:pPr>
            <w:r w:rsidRPr="00F60B52">
              <w:rPr>
                <w:rFonts w:ascii="Bould" w:hAnsi="Bould"/>
              </w:rPr>
              <w:t>ERSDL-0050-T7</w:t>
            </w:r>
          </w:p>
        </w:tc>
      </w:tr>
      <w:tr w:rsidR="00D42947" w:rsidRPr="003B1F33" w14:paraId="34F534B6"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4D28365C" w14:textId="4A0BCC6A" w:rsidR="00D42947" w:rsidRPr="00F60B52" w:rsidRDefault="00D42947" w:rsidP="002A2867">
            <w:pPr>
              <w:rPr>
                <w:rFonts w:ascii="Bould" w:hAnsi="Bould"/>
              </w:rPr>
            </w:pPr>
            <w:r w:rsidRPr="00F60B52">
              <w:rPr>
                <w:rFonts w:ascii="Bould" w:hAnsi="Bould"/>
              </w:rPr>
              <w:t>Haftungsübernahme  Kältezentrale 80 kW</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1ABA3832" w14:textId="1FA0E10F" w:rsidR="00D42947" w:rsidRPr="00F60B52" w:rsidRDefault="00D42947" w:rsidP="002A2867">
            <w:pPr>
              <w:rPr>
                <w:rFonts w:ascii="Bould" w:hAnsi="Bould"/>
              </w:rPr>
            </w:pPr>
            <w:r w:rsidRPr="00F60B52">
              <w:rPr>
                <w:rFonts w:ascii="Bould" w:hAnsi="Bould"/>
              </w:rPr>
              <w:t>ERSHUKZE80-T7</w:t>
            </w:r>
          </w:p>
        </w:tc>
      </w:tr>
      <w:tr w:rsidR="00D42947" w:rsidRPr="003B1F33" w14:paraId="34F534B6"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4D28365C" w14:textId="4A0BCC6A" w:rsidR="00D42947" w:rsidRPr="00F60B52" w:rsidRDefault="00D42947" w:rsidP="002A2867">
            <w:pPr>
              <w:rPr>
                <w:rFonts w:ascii="Bould" w:hAnsi="Bould"/>
              </w:rPr>
            </w:pPr>
            <w:r w:rsidRPr="00F60B52">
              <w:rPr>
                <w:rFonts w:ascii="Bould" w:hAnsi="Bould"/>
              </w:rPr>
              <w:t>Servicepauschale  Kältezentrale 80 kW</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1ABA3832" w14:textId="1FA0E10F" w:rsidR="00D42947" w:rsidRPr="00F60B52" w:rsidRDefault="00D42947" w:rsidP="002A2867">
            <w:pPr>
              <w:rPr>
                <w:rFonts w:ascii="Bould" w:hAnsi="Bould"/>
              </w:rPr>
            </w:pPr>
            <w:r w:rsidRPr="00F60B52">
              <w:rPr>
                <w:rFonts w:ascii="Bould" w:hAnsi="Bould"/>
              </w:rPr>
              <w:t>ERSSPKZE80</w:t>
            </w:r>
          </w:p>
        </w:tc>
      </w:tr>
    </w:tbl>
    <w:p w14:paraId="6B0B8B16" w14:textId="77777777" w:rsidR="00CF2CBC" w:rsidRPr="00465F1C" w:rsidRDefault="00CF2CBC">
      <w:pPr>
        <w:rPr>
          <w:lang w:eastAsia="en-US"/>
        </w:rPr>
      </w:pPr>
    </w:p>
    <w:sectPr w:rsidR="00CF2CBC" w:rsidRPr="00465F1C" w:rsidSect="00B05F34">
      <w:headerReference w:type="even" r:id="rId7"/>
      <w:headerReference w:type="default" r:id="rId8"/>
      <w:footerReference w:type="even" r:id="rId9"/>
      <w:footerReference w:type="default" r:id="rId10"/>
      <w:headerReference w:type="first" r:id="rId11"/>
      <w:footerReference w:type="first" r:id="rId12"/>
      <w:pgSz w:w="11906" w:h="16838"/>
      <w:pgMar w:top="2568" w:right="1274" w:bottom="1134" w:left="1276" w:header="720" w:footer="143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77D982" w14:textId="77777777" w:rsidR="00251F62" w:rsidRDefault="00251F62">
      <w:r>
        <w:separator/>
      </w:r>
    </w:p>
  </w:endnote>
  <w:endnote w:type="continuationSeparator" w:id="0">
    <w:p w14:paraId="18B4892A" w14:textId="77777777" w:rsidR="00251F62" w:rsidRDefault="00251F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Noway">
    <w:panose1 w:val="02000506000000020004"/>
    <w:charset w:val="00"/>
    <w:family w:val="modern"/>
    <w:notTrueType/>
    <w:pitch w:val="variable"/>
    <w:sig w:usb0="A000002F" w:usb1="1000006A" w:usb2="00000000" w:usb3="00000000" w:csb0="00000193" w:csb1="00000000"/>
  </w:font>
  <w:font w:name="Bould">
    <w:panose1 w:val="02000500000000000000"/>
    <w:charset w:val="00"/>
    <w:family w:val="auto"/>
    <w:pitch w:val="variable"/>
    <w:sig w:usb0="00000007" w:usb1="1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99B910" w14:textId="77777777" w:rsidR="00E70B0A" w:rsidRDefault="00E70B0A">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787E2E" w14:textId="3C2126F6" w:rsidR="00DA7DA4" w:rsidRDefault="00583AE8">
    <w:pPr>
      <w:pStyle w:val="Fuzeile"/>
    </w:pPr>
    <w:r>
      <w:rPr>
        <w:noProof/>
      </w:rPr>
      <w:drawing>
        <wp:anchor distT="0" distB="0" distL="114300" distR="114300" simplePos="0" relativeHeight="251667456" behindDoc="0" locked="0" layoutInCell="1" allowOverlap="1" wp14:anchorId="3413C2DD" wp14:editId="57EA5019">
          <wp:simplePos x="0" y="0"/>
          <wp:positionH relativeFrom="column">
            <wp:posOffset>-2915285</wp:posOffset>
          </wp:positionH>
          <wp:positionV relativeFrom="paragraph">
            <wp:posOffset>-1833245</wp:posOffset>
          </wp:positionV>
          <wp:extent cx="5532120" cy="5532120"/>
          <wp:effectExtent l="0" t="0" r="0" b="0"/>
          <wp:wrapNone/>
          <wp:docPr id="1864809311" name="Grafik 3" descr="Ein Bild, das Kreis, Schwarz, Screenshot, Dunkelhei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809311" name="Grafik 3" descr="Ein Bild, das Kreis, Schwarz, Screenshot, Dunkelheit enthält.&#10;&#10;KI-generierte Inhalte können fehlerhaft sein."/>
                  <pic:cNvPicPr/>
                </pic:nvPicPr>
                <pic:blipFill>
                  <a:blip r:embed="rId1">
                    <a:extLst>
                      <a:ext uri="{28A0092B-C50C-407E-A947-70E740481C1C}">
                        <a14:useLocalDpi xmlns:a14="http://schemas.microsoft.com/office/drawing/2010/main" val="0"/>
                      </a:ext>
                    </a:extLst>
                  </a:blip>
                  <a:stretch>
                    <a:fillRect/>
                  </a:stretch>
                </pic:blipFill>
                <pic:spPr>
                  <a:xfrm>
                    <a:off x="0" y="0"/>
                    <a:ext cx="5532120" cy="5532120"/>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A9CCC2" w14:textId="77777777" w:rsidR="00E70B0A" w:rsidRDefault="00E70B0A">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8E664A" w14:textId="77777777" w:rsidR="00251F62" w:rsidRDefault="00251F62">
      <w:r>
        <w:separator/>
      </w:r>
    </w:p>
  </w:footnote>
  <w:footnote w:type="continuationSeparator" w:id="0">
    <w:p w14:paraId="00B9D1DC" w14:textId="77777777" w:rsidR="00251F62" w:rsidRDefault="00251F6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776061" w14:textId="77777777" w:rsidR="00E70B0A" w:rsidRDefault="00E70B0A">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C3D1D6" w14:textId="063C8A7C" w:rsidR="00E72925" w:rsidRDefault="00E72925" w:rsidP="00E72925">
    <w:pPr>
      <w:pStyle w:val="Kopfzeile"/>
      <w:tabs>
        <w:tab w:val="clear" w:pos="4536"/>
        <w:tab w:val="clear" w:pos="9072"/>
        <w:tab w:val="left" w:pos="2177"/>
      </w:tabs>
    </w:pPr>
    <w:r>
      <w:rPr>
        <w:noProof/>
      </w:rPr>
      <w:drawing>
        <wp:anchor distT="0" distB="0" distL="114300" distR="114300" simplePos="0" relativeHeight="251663360" behindDoc="0" locked="0" layoutInCell="1" allowOverlap="1" wp14:anchorId="16A9F459" wp14:editId="62A89E7B">
          <wp:simplePos x="0" y="0"/>
          <wp:positionH relativeFrom="column">
            <wp:posOffset>2475865</wp:posOffset>
          </wp:positionH>
          <wp:positionV relativeFrom="paragraph">
            <wp:posOffset>-3514725</wp:posOffset>
          </wp:positionV>
          <wp:extent cx="4095750" cy="4095750"/>
          <wp:effectExtent l="0" t="0" r="0" b="0"/>
          <wp:wrapNone/>
          <wp:docPr id="1440353114" name="Grafik 2" descr="Ein Bild, das Kreis, Kunst, Licht, Spiral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353114" name="Grafik 2" descr="Ein Bild, das Kreis, Kunst, Licht, Spirale enthält.&#10;&#10;KI-generierte Inhalte können fehlerhaft sein."/>
                  <pic:cNvPicPr/>
                </pic:nvPicPr>
                <pic:blipFill>
                  <a:blip r:embed="rId1">
                    <a:extLst>
                      <a:ext uri="{28A0092B-C50C-407E-A947-70E740481C1C}">
                        <a14:useLocalDpi xmlns:a14="http://schemas.microsoft.com/office/drawing/2010/main" val="0"/>
                      </a:ext>
                    </a:extLst>
                  </a:blip>
                  <a:stretch>
                    <a:fillRect/>
                  </a:stretch>
                </pic:blipFill>
                <pic:spPr>
                  <a:xfrm>
                    <a:off x="0" y="0"/>
                    <a:ext cx="4095750" cy="409575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0" locked="0" layoutInCell="1" allowOverlap="1" wp14:anchorId="7030BB19" wp14:editId="5B995ED5">
          <wp:simplePos x="0" y="0"/>
          <wp:positionH relativeFrom="column">
            <wp:posOffset>-172085</wp:posOffset>
          </wp:positionH>
          <wp:positionV relativeFrom="paragraph">
            <wp:posOffset>-152400</wp:posOffset>
          </wp:positionV>
          <wp:extent cx="2364740" cy="755650"/>
          <wp:effectExtent l="0" t="0" r="0" b="6350"/>
          <wp:wrapNone/>
          <wp:docPr id="1023912780" name="Grafik 1" descr="Ein Bild, das Screenshot, Schrift, Kreis, Grafike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912780" name="Grafik 1" descr="Ein Bild, das Screenshot, Schrift, Kreis, Grafiken enthält.&#10;&#10;KI-generierte Inhalte können fehlerhaft sein."/>
                  <pic:cNvPicPr/>
                </pic:nvPicPr>
                <pic:blipFill>
                  <a:blip r:embed="rId2">
                    <a:extLst>
                      <a:ext uri="{28A0092B-C50C-407E-A947-70E740481C1C}">
                        <a14:useLocalDpi xmlns:a14="http://schemas.microsoft.com/office/drawing/2010/main" val="0"/>
                      </a:ext>
                    </a:extLst>
                  </a:blip>
                  <a:stretch>
                    <a:fillRect/>
                  </a:stretch>
                </pic:blipFill>
                <pic:spPr>
                  <a:xfrm>
                    <a:off x="0" y="0"/>
                    <a:ext cx="2364740" cy="755650"/>
                  </a:xfrm>
                  <a:prstGeom prst="rect">
                    <a:avLst/>
                  </a:prstGeom>
                </pic:spPr>
              </pic:pic>
            </a:graphicData>
          </a:graphic>
          <wp14:sizeRelH relativeFrom="page">
            <wp14:pctWidth>0</wp14:pctWidth>
          </wp14:sizeRelH>
          <wp14:sizeRelV relativeFrom="page">
            <wp14:pctHeight>0</wp14:pctHeight>
          </wp14:sizeRelV>
        </wp:anchor>
      </w:drawing>
    </w:r>
  </w:p>
  <w:p w14:paraId="39857345" w14:textId="0FF6C256" w:rsidR="00E72925" w:rsidRDefault="00E72925" w:rsidP="00E72925">
    <w:pPr>
      <w:pStyle w:val="Kopfzeile"/>
      <w:tabs>
        <w:tab w:val="clear" w:pos="4536"/>
        <w:tab w:val="clear" w:pos="9072"/>
        <w:tab w:val="left" w:pos="2177"/>
      </w:tabs>
    </w:pPr>
  </w:p>
  <w:p w14:paraId="5F61DCD9" w14:textId="03200947" w:rsidR="00E72925" w:rsidRDefault="00E72925" w:rsidP="00E72925">
    <w:pPr>
      <w:pStyle w:val="Kopfzeile"/>
      <w:tabs>
        <w:tab w:val="clear" w:pos="4536"/>
        <w:tab w:val="clear" w:pos="9072"/>
        <w:tab w:val="left" w:pos="2177"/>
      </w:tabs>
    </w:pPr>
  </w:p>
  <w:p w14:paraId="02D9807B" w14:textId="75AFA707" w:rsidR="00E72925" w:rsidRDefault="00E72925" w:rsidP="00E72925">
    <w:pPr>
      <w:pStyle w:val="Kopfzeile"/>
      <w:tabs>
        <w:tab w:val="clear" w:pos="4536"/>
        <w:tab w:val="clear" w:pos="9072"/>
        <w:tab w:val="left" w:pos="2177"/>
      </w:tabs>
    </w:pPr>
  </w:p>
  <w:p w14:paraId="6526CB65" w14:textId="7F65B27B" w:rsidR="00E72925" w:rsidRDefault="00E72925" w:rsidP="00E72925">
    <w:pPr>
      <w:pStyle w:val="Kopfzeile"/>
      <w:tabs>
        <w:tab w:val="clear" w:pos="4536"/>
        <w:tab w:val="clear" w:pos="9072"/>
        <w:tab w:val="left" w:pos="2177"/>
      </w:tabs>
    </w:pPr>
  </w:p>
  <w:p w14:paraId="21B74EAE" w14:textId="068297D8" w:rsidR="00E72925" w:rsidRDefault="00E72925" w:rsidP="00E72925">
    <w:pPr>
      <w:pStyle w:val="Kopfzeile"/>
      <w:tabs>
        <w:tab w:val="clear" w:pos="4536"/>
        <w:tab w:val="clear" w:pos="9072"/>
        <w:tab w:val="left" w:pos="2177"/>
      </w:tabs>
    </w:pPr>
  </w:p>
  <w:p w14:paraId="19C99D04" w14:textId="6AC7B72F" w:rsidR="00E72925" w:rsidRDefault="00E72925" w:rsidP="00E72925">
    <w:pPr>
      <w:pStyle w:val="Kopfzeile"/>
      <w:tabs>
        <w:tab w:val="clear" w:pos="4536"/>
        <w:tab w:val="clear" w:pos="9072"/>
        <w:tab w:val="left" w:pos="2177"/>
      </w:tabs>
    </w:pPr>
    <w:r>
      <w:rPr>
        <w:noProof/>
      </w:rPr>
      <mc:AlternateContent>
        <mc:Choice Requires="wps">
          <w:drawing>
            <wp:anchor distT="0" distB="0" distL="114300" distR="114300" simplePos="0" relativeHeight="251666432" behindDoc="0" locked="0" layoutInCell="1" allowOverlap="1" wp14:anchorId="248AD13D" wp14:editId="7C89C8AE">
              <wp:simplePos x="0" y="0"/>
              <wp:positionH relativeFrom="column">
                <wp:posOffset>-221615</wp:posOffset>
              </wp:positionH>
              <wp:positionV relativeFrom="paragraph">
                <wp:posOffset>65248</wp:posOffset>
              </wp:positionV>
              <wp:extent cx="6276340" cy="0"/>
              <wp:effectExtent l="0" t="0" r="0" b="0"/>
              <wp:wrapNone/>
              <wp:docPr id="1" name="Gerader Verbinder 1"/>
              <wp:cNvGraphicFramePr/>
              <a:graphic xmlns:a="http://schemas.openxmlformats.org/drawingml/2006/main">
                <a:graphicData uri="http://schemas.microsoft.com/office/word/2010/wordprocessingShape">
                  <wps:wsp>
                    <wps:cNvCnPr/>
                    <wps:spPr>
                      <a:xfrm>
                        <a:off x="0" y="0"/>
                        <a:ext cx="6276340" cy="0"/>
                      </a:xfrm>
                      <a:prstGeom prst="line">
                        <a:avLst/>
                      </a:prstGeom>
                      <a:ln>
                        <a:solidFill>
                          <a:srgbClr val="303F5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D94D88F" id="Gerader Verbinder 1"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17.45pt,5.15pt" to="476.75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" strokecolor="#303f5a" strokeweight=".5pt">
              <v:stroke joinstyle="miter"/>
            </v:line>
          </w:pict>
        </mc:Fallback>
      </mc:AlternateContent>
    </w:r>
  </w:p>
  <w:p w14:paraId="31DE0799" w14:textId="018AA947" w:rsidR="00DA7DA4" w:rsidRDefault="00E72925">
    <w:pPr>
      <w:pStyle w:val="Kopfzeile"/>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F7324F" w14:textId="77777777" w:rsidR="00E70B0A" w:rsidRDefault="00E70B0A">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95779CF"/>
    <w:multiLevelType w:val="hybridMultilevel"/>
    <w:tmpl w:val="A44EB62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9488065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1D43"/>
    <w:rsid w:val="000345F0"/>
    <w:rsid w:val="000E1C05"/>
    <w:rsid w:val="0013156C"/>
    <w:rsid w:val="00167D44"/>
    <w:rsid w:val="00186DDF"/>
    <w:rsid w:val="00190716"/>
    <w:rsid w:val="00195184"/>
    <w:rsid w:val="001A2290"/>
    <w:rsid w:val="001D243F"/>
    <w:rsid w:val="002176CE"/>
    <w:rsid w:val="00250188"/>
    <w:rsid w:val="00251F62"/>
    <w:rsid w:val="002E3835"/>
    <w:rsid w:val="00333C4E"/>
    <w:rsid w:val="003A11F7"/>
    <w:rsid w:val="003B1F33"/>
    <w:rsid w:val="003D1F24"/>
    <w:rsid w:val="003F684D"/>
    <w:rsid w:val="0044431D"/>
    <w:rsid w:val="00446647"/>
    <w:rsid w:val="00465F1C"/>
    <w:rsid w:val="004B5388"/>
    <w:rsid w:val="004D7926"/>
    <w:rsid w:val="005063C0"/>
    <w:rsid w:val="00554494"/>
    <w:rsid w:val="005659BD"/>
    <w:rsid w:val="00582029"/>
    <w:rsid w:val="00583702"/>
    <w:rsid w:val="00583AE8"/>
    <w:rsid w:val="00592B02"/>
    <w:rsid w:val="005A41F8"/>
    <w:rsid w:val="006204E5"/>
    <w:rsid w:val="006232CC"/>
    <w:rsid w:val="0067072D"/>
    <w:rsid w:val="006866A0"/>
    <w:rsid w:val="007251BC"/>
    <w:rsid w:val="007D54D9"/>
    <w:rsid w:val="007E7F16"/>
    <w:rsid w:val="00815315"/>
    <w:rsid w:val="00827B92"/>
    <w:rsid w:val="00834A67"/>
    <w:rsid w:val="0086458B"/>
    <w:rsid w:val="008943FB"/>
    <w:rsid w:val="00957185"/>
    <w:rsid w:val="00977C58"/>
    <w:rsid w:val="009920FE"/>
    <w:rsid w:val="00994891"/>
    <w:rsid w:val="009A3F15"/>
    <w:rsid w:val="009C48B1"/>
    <w:rsid w:val="00A22E31"/>
    <w:rsid w:val="00A7709D"/>
    <w:rsid w:val="00A93B59"/>
    <w:rsid w:val="00A946A1"/>
    <w:rsid w:val="00B05F34"/>
    <w:rsid w:val="00BC4BE3"/>
    <w:rsid w:val="00C217EF"/>
    <w:rsid w:val="00C23D68"/>
    <w:rsid w:val="00C425A7"/>
    <w:rsid w:val="00C4298A"/>
    <w:rsid w:val="00C53F78"/>
    <w:rsid w:val="00CC1968"/>
    <w:rsid w:val="00CD56EE"/>
    <w:rsid w:val="00CF2CBC"/>
    <w:rsid w:val="00D003E7"/>
    <w:rsid w:val="00D05C6B"/>
    <w:rsid w:val="00D07684"/>
    <w:rsid w:val="00D1011B"/>
    <w:rsid w:val="00D230BC"/>
    <w:rsid w:val="00D25859"/>
    <w:rsid w:val="00D42947"/>
    <w:rsid w:val="00D645DC"/>
    <w:rsid w:val="00D86AD7"/>
    <w:rsid w:val="00DA7DA4"/>
    <w:rsid w:val="00E03AB3"/>
    <w:rsid w:val="00E11D43"/>
    <w:rsid w:val="00E57F08"/>
    <w:rsid w:val="00E70B0A"/>
    <w:rsid w:val="00E72925"/>
    <w:rsid w:val="00E80E10"/>
    <w:rsid w:val="00EA420B"/>
    <w:rsid w:val="00ED238B"/>
    <w:rsid w:val="00ED545D"/>
    <w:rsid w:val="00ED6FE5"/>
    <w:rsid w:val="00F1348A"/>
    <w:rsid w:val="00F17C37"/>
    <w:rsid w:val="00F60B52"/>
    <w:rsid w:val="00F84AE5"/>
    <w:rsid w:val="00FE07F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F2944B"/>
  <w15:chartTrackingRefBased/>
  <w15:docId w15:val="{629A5760-3596-46F4-A496-CE5127D263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E11D43"/>
    <w:pPr>
      <w:spacing w:after="0" w:line="240" w:lineRule="auto"/>
    </w:pPr>
    <w:rPr>
      <w:rFonts w:ascii="Arial" w:eastAsia="Times New Roman" w:hAnsi="Arial" w:cs="Times New Roman"/>
      <w:sz w:val="20"/>
      <w:szCs w:val="20"/>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einzug">
    <w:name w:val="Normal Indent"/>
    <w:basedOn w:val="Standard"/>
    <w:rsid w:val="00E11D43"/>
    <w:pPr>
      <w:ind w:left="708"/>
    </w:pPr>
  </w:style>
  <w:style w:type="paragraph" w:styleId="Kopfzeile">
    <w:name w:val="header"/>
    <w:basedOn w:val="Standard"/>
    <w:link w:val="KopfzeileZchn"/>
    <w:unhideWhenUsed/>
    <w:rsid w:val="00E11D43"/>
    <w:pPr>
      <w:tabs>
        <w:tab w:val="center" w:pos="4536"/>
        <w:tab w:val="right" w:pos="9072"/>
      </w:tabs>
    </w:pPr>
  </w:style>
  <w:style w:type="character" w:customStyle="1" w:styleId="KopfzeileZchn">
    <w:name w:val="Kopfzeile Zchn"/>
    <w:basedOn w:val="Absatz-Standardschriftart"/>
    <w:link w:val="Kopfzeile"/>
    <w:rsid w:val="00E11D43"/>
    <w:rPr>
      <w:rFonts w:ascii="Arial" w:eastAsia="Times New Roman" w:hAnsi="Arial" w:cs="Times New Roman"/>
      <w:sz w:val="20"/>
      <w:szCs w:val="20"/>
      <w:lang w:eastAsia="de-DE"/>
    </w:rPr>
  </w:style>
  <w:style w:type="paragraph" w:styleId="Fuzeile">
    <w:name w:val="footer"/>
    <w:basedOn w:val="Standard"/>
    <w:link w:val="FuzeileZchn"/>
    <w:unhideWhenUsed/>
    <w:rsid w:val="00E11D43"/>
    <w:pPr>
      <w:tabs>
        <w:tab w:val="center" w:pos="4536"/>
        <w:tab w:val="right" w:pos="9072"/>
      </w:tabs>
    </w:pPr>
  </w:style>
  <w:style w:type="character" w:customStyle="1" w:styleId="FuzeileZchn">
    <w:name w:val="Fußzeile Zchn"/>
    <w:basedOn w:val="Absatz-Standardschriftart"/>
    <w:link w:val="Fuzeile"/>
    <w:rsid w:val="00E11D43"/>
    <w:rPr>
      <w:rFonts w:ascii="Arial" w:eastAsia="Times New Roman" w:hAnsi="Arial" w:cs="Times New Roman"/>
      <w:sz w:val="20"/>
      <w:szCs w:val="20"/>
      <w:lang w:eastAsia="de-DE"/>
    </w:rPr>
  </w:style>
  <w:style w:type="paragraph" w:customStyle="1" w:styleId="EinfAbs">
    <w:name w:val="[Einf. Abs.]"/>
    <w:basedOn w:val="Standard"/>
    <w:uiPriority w:val="99"/>
    <w:rsid w:val="006866A0"/>
    <w:pPr>
      <w:autoSpaceDE w:val="0"/>
      <w:autoSpaceDN w:val="0"/>
      <w:adjustRightInd w:val="0"/>
      <w:spacing w:line="288" w:lineRule="auto"/>
      <w:textAlignment w:val="center"/>
    </w:pPr>
    <w:rPr>
      <w:rFonts w:ascii="Times New Roman" w:eastAsiaTheme="minorHAnsi" w:hAnsi="Times New Roman"/>
      <w:color w:val="000000"/>
      <w:sz w:val="24"/>
      <w:szCs w:val="24"/>
      <w:lang w:eastAsia="en-US"/>
    </w:rPr>
  </w:style>
  <w:style w:type="character" w:styleId="Hyperlink">
    <w:name w:val="Hyperlink"/>
    <w:basedOn w:val="Absatz-Standardschriftart"/>
    <w:uiPriority w:val="99"/>
    <w:unhideWhenUsed/>
    <w:rsid w:val="006866A0"/>
    <w:rPr>
      <w:color w:val="0563C1" w:themeColor="hyperlink"/>
      <w:u w:val="single"/>
    </w:rPr>
  </w:style>
  <w:style w:type="character" w:styleId="NichtaufgelsteErwhnung">
    <w:name w:val="Unresolved Mention"/>
    <w:basedOn w:val="Absatz-Standardschriftart"/>
    <w:uiPriority w:val="99"/>
    <w:semiHidden/>
    <w:unhideWhenUsed/>
    <w:rsid w:val="006866A0"/>
    <w:rPr>
      <w:color w:val="605E5C"/>
      <w:shd w:val="clear" w:color="auto" w:fill="E1DFDD"/>
    </w:rPr>
  </w:style>
  <w:style w:type="paragraph" w:customStyle="1" w:styleId="articlenumber">
    <w:name w:val="article_number"/>
    <w:basedOn w:val="Standard"/>
    <w:uiPriority w:val="99"/>
    <w:rsid w:val="00250188"/>
    <w:pPr>
      <w:autoSpaceDE w:val="0"/>
      <w:autoSpaceDN w:val="0"/>
      <w:adjustRightInd w:val="0"/>
      <w:spacing w:line="300" w:lineRule="atLeast"/>
      <w:textAlignment w:val="center"/>
    </w:pPr>
    <w:rPr>
      <w:rFonts w:ascii="Noway" w:eastAsiaTheme="minorHAnsi" w:hAnsi="Noway" w:cs="Noway"/>
      <w:caps/>
      <w:color w:val="00003F"/>
      <w:spacing w:val="60"/>
      <w:sz w:val="30"/>
      <w:szCs w:val="30"/>
      <w:lang w:eastAsia="en-US"/>
    </w:rPr>
  </w:style>
  <w:style w:type="paragraph" w:customStyle="1" w:styleId="articlegroupred">
    <w:name w:val="article_group_red"/>
    <w:basedOn w:val="Standard"/>
    <w:uiPriority w:val="99"/>
    <w:rsid w:val="00250188"/>
    <w:pPr>
      <w:autoSpaceDE w:val="0"/>
      <w:autoSpaceDN w:val="0"/>
      <w:adjustRightInd w:val="0"/>
      <w:spacing w:after="397" w:line="1220" w:lineRule="atLeast"/>
      <w:textAlignment w:val="center"/>
    </w:pPr>
    <w:rPr>
      <w:rFonts w:ascii="Noway" w:eastAsiaTheme="minorHAnsi" w:hAnsi="Noway" w:cs="Noway"/>
      <w:color w:val="FF2B19"/>
      <w:spacing w:val="10"/>
      <w:sz w:val="100"/>
      <w:szCs w:val="100"/>
      <w:lang w:eastAsia="en-US"/>
    </w:rPr>
  </w:style>
  <w:style w:type="paragraph" w:customStyle="1" w:styleId="articledescription">
    <w:name w:val="article_description"/>
    <w:basedOn w:val="Standard"/>
    <w:uiPriority w:val="99"/>
    <w:rsid w:val="00250188"/>
    <w:pPr>
      <w:autoSpaceDE w:val="0"/>
      <w:autoSpaceDN w:val="0"/>
      <w:adjustRightInd w:val="0"/>
      <w:spacing w:line="300" w:lineRule="atLeast"/>
      <w:textAlignment w:val="center"/>
    </w:pPr>
    <w:rPr>
      <w:rFonts w:ascii="Noway" w:eastAsiaTheme="minorHAnsi" w:hAnsi="Noway" w:cs="Noway"/>
      <w:color w:val="00003F"/>
      <w:sz w:val="22"/>
      <w:szCs w:val="22"/>
      <w:lang w:eastAsia="en-US"/>
    </w:rPr>
  </w:style>
  <w:style w:type="character" w:customStyle="1" w:styleId="articlenumberbold">
    <w:name w:val="article_number_bold"/>
    <w:basedOn w:val="Absatz-Standardschriftart"/>
    <w:uiPriority w:val="99"/>
    <w:rsid w:val="00250188"/>
    <w:rPr>
      <w:rFonts w:ascii="Noway" w:hAnsi="Noway" w:cs="Noway"/>
      <w:b/>
      <w:bCs/>
      <w:caps/>
      <w:color w:val="00003F"/>
      <w:spacing w:val="60"/>
      <w:sz w:val="30"/>
      <w:szCs w:val="30"/>
      <w:vertAlign w:val="baseline"/>
    </w:rPr>
  </w:style>
  <w:style w:type="paragraph" w:customStyle="1" w:styleId="pricelistheaderprimary">
    <w:name w:val="pricelist_header_primary"/>
    <w:basedOn w:val="articlenumber"/>
    <w:uiPriority w:val="99"/>
    <w:rsid w:val="00DA7DA4"/>
    <w:pPr>
      <w:jc w:val="center"/>
    </w:pPr>
    <w:rPr>
      <w:color w:val="FFFFFF"/>
      <w:spacing w:val="44"/>
      <w:sz w:val="22"/>
      <w:szCs w:val="22"/>
    </w:rPr>
  </w:style>
  <w:style w:type="paragraph" w:customStyle="1" w:styleId="rentallist">
    <w:name w:val="rental_list"/>
    <w:basedOn w:val="Standard"/>
    <w:uiPriority w:val="99"/>
    <w:rsid w:val="00DA7DA4"/>
    <w:pPr>
      <w:autoSpaceDE w:val="0"/>
      <w:autoSpaceDN w:val="0"/>
      <w:adjustRightInd w:val="0"/>
      <w:spacing w:line="180" w:lineRule="atLeast"/>
      <w:ind w:left="283" w:hanging="283"/>
      <w:textAlignment w:val="center"/>
    </w:pPr>
    <w:rPr>
      <w:rFonts w:ascii="Noway" w:eastAsiaTheme="minorHAnsi" w:hAnsi="Noway" w:cs="Noway"/>
      <w:color w:val="1C2C4F"/>
      <w:sz w:val="16"/>
      <w:szCs w:val="16"/>
      <w:lang w:eastAsia="en-US"/>
    </w:rPr>
  </w:style>
  <w:style w:type="paragraph" w:customStyle="1" w:styleId="pricelistheadersecondary">
    <w:name w:val="pricelist_header_secondary"/>
    <w:basedOn w:val="Standard"/>
    <w:uiPriority w:val="99"/>
    <w:rsid w:val="00DA7DA4"/>
    <w:pPr>
      <w:autoSpaceDE w:val="0"/>
      <w:autoSpaceDN w:val="0"/>
      <w:adjustRightInd w:val="0"/>
      <w:spacing w:line="300" w:lineRule="atLeast"/>
      <w:textAlignment w:val="center"/>
    </w:pPr>
    <w:rPr>
      <w:rFonts w:ascii="Noway" w:eastAsiaTheme="minorHAnsi" w:hAnsi="Noway" w:cs="Noway"/>
      <w:color w:val="1C2C4F"/>
      <w:lang w:eastAsia="en-US"/>
    </w:rPr>
  </w:style>
  <w:style w:type="paragraph" w:customStyle="1" w:styleId="pricelistheadersecondaryright">
    <w:name w:val="pricelist_header_secondary_right"/>
    <w:basedOn w:val="Standard"/>
    <w:uiPriority w:val="99"/>
    <w:rsid w:val="00DA7DA4"/>
    <w:pPr>
      <w:autoSpaceDE w:val="0"/>
      <w:autoSpaceDN w:val="0"/>
      <w:adjustRightInd w:val="0"/>
      <w:spacing w:line="300" w:lineRule="atLeast"/>
      <w:jc w:val="right"/>
      <w:textAlignment w:val="center"/>
    </w:pPr>
    <w:rPr>
      <w:rFonts w:ascii="Noway" w:eastAsiaTheme="minorHAnsi" w:hAnsi="Noway" w:cs="Noway"/>
      <w:color w:val="1C2C4F"/>
      <w:lang w:eastAsia="en-US"/>
    </w:rPr>
  </w:style>
  <w:style w:type="paragraph" w:customStyle="1" w:styleId="pricelistbody">
    <w:name w:val="pricelist_body"/>
    <w:basedOn w:val="Standard"/>
    <w:uiPriority w:val="99"/>
    <w:rsid w:val="00DA7DA4"/>
    <w:pPr>
      <w:autoSpaceDE w:val="0"/>
      <w:autoSpaceDN w:val="0"/>
      <w:adjustRightInd w:val="0"/>
      <w:spacing w:line="240" w:lineRule="atLeast"/>
      <w:textAlignment w:val="center"/>
    </w:pPr>
    <w:rPr>
      <w:rFonts w:ascii="Noway" w:eastAsiaTheme="minorHAnsi" w:hAnsi="Noway" w:cs="Noway"/>
      <w:color w:val="1C2C4F"/>
      <w:sz w:val="16"/>
      <w:szCs w:val="16"/>
      <w:lang w:eastAsia="en-US"/>
    </w:rPr>
  </w:style>
  <w:style w:type="paragraph" w:customStyle="1" w:styleId="pricelistbodyright">
    <w:name w:val="pricelist_body_right"/>
    <w:basedOn w:val="Standard"/>
    <w:uiPriority w:val="99"/>
    <w:rsid w:val="00DA7DA4"/>
    <w:pPr>
      <w:autoSpaceDE w:val="0"/>
      <w:autoSpaceDN w:val="0"/>
      <w:adjustRightInd w:val="0"/>
      <w:spacing w:line="240" w:lineRule="atLeast"/>
      <w:jc w:val="right"/>
      <w:textAlignment w:val="center"/>
    </w:pPr>
    <w:rPr>
      <w:rFonts w:ascii="Noway" w:eastAsiaTheme="minorHAnsi" w:hAnsi="Noway" w:cs="Noway"/>
      <w:color w:val="1C2C4F"/>
      <w:sz w:val="16"/>
      <w:szCs w:val="16"/>
      <w:lang w:eastAsia="en-US"/>
    </w:rPr>
  </w:style>
  <w:style w:type="paragraph" w:styleId="Listenabsatz">
    <w:name w:val="List Paragraph"/>
    <w:basedOn w:val="Standard"/>
    <w:uiPriority w:val="34"/>
    <w:qFormat/>
    <w:rsid w:val="00DA7DA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18908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63</Words>
  <Characters>402</Characters>
  <Application>Microsoft Office Word</Application>
  <DocSecurity>0</DocSecurity>
  <Lines>3</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Tim-Maurice Müller-Hahl</dc:creator>
  <cp:keywords/>
  <dc:description/>
  <cp:lastModifiedBy>Daniel Reitmeier</cp:lastModifiedBy>
  <cp:revision>64</cp:revision>
  <cp:lastPrinted>2020-11-05T09:41:00Z</cp:lastPrinted>
  <dcterms:created xsi:type="dcterms:W3CDTF">2024-01-30T09:54:00Z</dcterms:created>
  <dcterms:modified xsi:type="dcterms:W3CDTF">2025-06-26T12:01:00Z</dcterms:modified>
</cp:coreProperties>
</file>